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48" w:rsidRDefault="008B6648">
      <w:pPr>
        <w:pStyle w:val="berschrift1"/>
        <w:jc w:val="center"/>
        <w:rPr>
          <w:rFonts w:ascii="Arial" w:hAnsi="Arial"/>
          <w:sz w:val="32"/>
        </w:rPr>
      </w:pPr>
      <w:bookmarkStart w:id="0" w:name="_GoBack"/>
      <w:bookmarkEnd w:id="0"/>
      <w:r>
        <w:rPr>
          <w:rFonts w:ascii="Arial" w:hAnsi="Arial"/>
          <w:sz w:val="32"/>
        </w:rPr>
        <w:t>Vollmacht</w:t>
      </w:r>
    </w:p>
    <w:p w:rsidR="008B6648" w:rsidRDefault="008B6648">
      <w:pPr>
        <w:rPr>
          <w:sz w:val="20"/>
        </w:rPr>
      </w:pPr>
    </w:p>
    <w:p w:rsidR="008B6648" w:rsidRDefault="008B6648">
      <w:pPr>
        <w:rPr>
          <w:sz w:val="20"/>
        </w:rPr>
      </w:pPr>
      <w:r>
        <w:rPr>
          <w:sz w:val="20"/>
        </w:rPr>
        <w:t>De</w:t>
      </w:r>
      <w:r w:rsidR="004F751D">
        <w:rPr>
          <w:sz w:val="20"/>
        </w:rPr>
        <w:t>r</w:t>
      </w:r>
    </w:p>
    <w:p w:rsidR="008B6648" w:rsidRPr="00386F51" w:rsidRDefault="008B6648">
      <w:pPr>
        <w:rPr>
          <w:sz w:val="16"/>
        </w:rPr>
      </w:pPr>
    </w:p>
    <w:p w:rsidR="00386F51" w:rsidRPr="00386F51" w:rsidRDefault="004F751D" w:rsidP="00386F51">
      <w:pPr>
        <w:ind w:left="709"/>
        <w:jc w:val="both"/>
        <w:rPr>
          <w:b/>
          <w:szCs w:val="22"/>
        </w:rPr>
      </w:pPr>
      <w:r w:rsidRPr="004F751D">
        <w:rPr>
          <w:b/>
          <w:szCs w:val="22"/>
        </w:rPr>
        <w:t xml:space="preserve">Unützer Wagner Werding </w:t>
      </w:r>
      <w:r w:rsidRPr="004F751D">
        <w:rPr>
          <w:rFonts w:cs="Arial"/>
          <w:b/>
          <w:szCs w:val="22"/>
        </w:rPr>
        <w:t>Rechtsanwälte Steuerberater Partnerschaftsgesellschaft mbB</w:t>
      </w:r>
    </w:p>
    <w:tbl>
      <w:tblPr>
        <w:tblW w:w="10135" w:type="dxa"/>
        <w:tblLayout w:type="fixed"/>
        <w:tblCellMar>
          <w:left w:w="70" w:type="dxa"/>
          <w:right w:w="70" w:type="dxa"/>
        </w:tblCellMar>
        <w:tblLook w:val="0000" w:firstRow="0" w:lastRow="0" w:firstColumn="0" w:lastColumn="0" w:noHBand="0" w:noVBand="0"/>
      </w:tblPr>
      <w:tblGrid>
        <w:gridCol w:w="1630"/>
        <w:gridCol w:w="8505"/>
      </w:tblGrid>
      <w:tr w:rsidR="008B6648" w:rsidTr="00C25658">
        <w:tblPrEx>
          <w:tblCellMar>
            <w:top w:w="0" w:type="dxa"/>
            <w:bottom w:w="0" w:type="dxa"/>
          </w:tblCellMar>
        </w:tblPrEx>
        <w:tc>
          <w:tcPr>
            <w:tcW w:w="1630" w:type="dxa"/>
          </w:tcPr>
          <w:p w:rsidR="00C25658" w:rsidRDefault="00C25658">
            <w:pPr>
              <w:tabs>
                <w:tab w:val="left" w:pos="1701"/>
              </w:tabs>
              <w:jc w:val="both"/>
              <w:rPr>
                <w:sz w:val="20"/>
              </w:rPr>
            </w:pPr>
          </w:p>
          <w:p w:rsidR="008B6648" w:rsidRDefault="008B6648">
            <w:pPr>
              <w:tabs>
                <w:tab w:val="left" w:pos="1701"/>
              </w:tabs>
              <w:jc w:val="both"/>
              <w:rPr>
                <w:sz w:val="20"/>
              </w:rPr>
            </w:pPr>
            <w:r>
              <w:rPr>
                <w:sz w:val="20"/>
              </w:rPr>
              <w:t>wird in Sachen</w:t>
            </w:r>
          </w:p>
        </w:tc>
        <w:tc>
          <w:tcPr>
            <w:tcW w:w="8505" w:type="dxa"/>
            <w:tcBorders>
              <w:bottom w:val="single" w:sz="4" w:space="0" w:color="auto"/>
            </w:tcBorders>
          </w:tcPr>
          <w:p w:rsidR="008B6648" w:rsidRDefault="008B6648" w:rsidP="00D01D64">
            <w:pPr>
              <w:tabs>
                <w:tab w:val="left" w:pos="1701"/>
              </w:tabs>
              <w:jc w:val="both"/>
              <w:rPr>
                <w:sz w:val="20"/>
              </w:rPr>
            </w:pPr>
          </w:p>
          <w:p w:rsidR="00386F51" w:rsidRDefault="00386F51" w:rsidP="00D01D64">
            <w:pPr>
              <w:tabs>
                <w:tab w:val="left" w:pos="1701"/>
              </w:tabs>
              <w:jc w:val="both"/>
              <w:rPr>
                <w:sz w:val="20"/>
              </w:rPr>
            </w:pPr>
          </w:p>
        </w:tc>
      </w:tr>
      <w:tr w:rsidR="008B6648" w:rsidTr="00C25658">
        <w:tblPrEx>
          <w:tblCellMar>
            <w:top w:w="0" w:type="dxa"/>
            <w:bottom w:w="0" w:type="dxa"/>
          </w:tblCellMar>
        </w:tblPrEx>
        <w:tc>
          <w:tcPr>
            <w:tcW w:w="1630" w:type="dxa"/>
          </w:tcPr>
          <w:p w:rsidR="008B6648" w:rsidRDefault="008B6648">
            <w:pPr>
              <w:tabs>
                <w:tab w:val="left" w:pos="1701"/>
              </w:tabs>
              <w:jc w:val="both"/>
              <w:rPr>
                <w:sz w:val="20"/>
              </w:rPr>
            </w:pPr>
          </w:p>
        </w:tc>
        <w:tc>
          <w:tcPr>
            <w:tcW w:w="8505" w:type="dxa"/>
          </w:tcPr>
          <w:p w:rsidR="008B6648" w:rsidRDefault="008B6648">
            <w:pPr>
              <w:tabs>
                <w:tab w:val="left" w:pos="1701"/>
              </w:tabs>
              <w:jc w:val="both"/>
              <w:rPr>
                <w:sz w:val="20"/>
              </w:rPr>
            </w:pPr>
          </w:p>
        </w:tc>
      </w:tr>
      <w:tr w:rsidR="008B6648" w:rsidTr="00C25658">
        <w:tblPrEx>
          <w:tblCellMar>
            <w:top w:w="0" w:type="dxa"/>
            <w:bottom w:w="0" w:type="dxa"/>
          </w:tblCellMar>
        </w:tblPrEx>
        <w:tc>
          <w:tcPr>
            <w:tcW w:w="1630" w:type="dxa"/>
          </w:tcPr>
          <w:p w:rsidR="008B6648" w:rsidRDefault="008B6648">
            <w:pPr>
              <w:tabs>
                <w:tab w:val="left" w:pos="1701"/>
              </w:tabs>
              <w:jc w:val="both"/>
              <w:rPr>
                <w:sz w:val="20"/>
              </w:rPr>
            </w:pPr>
            <w:r>
              <w:rPr>
                <w:sz w:val="20"/>
              </w:rPr>
              <w:t>wegen</w:t>
            </w:r>
          </w:p>
        </w:tc>
        <w:tc>
          <w:tcPr>
            <w:tcW w:w="8505" w:type="dxa"/>
            <w:tcBorders>
              <w:bottom w:val="single" w:sz="4" w:space="0" w:color="auto"/>
            </w:tcBorders>
          </w:tcPr>
          <w:p w:rsidR="008B6648" w:rsidRDefault="008B6648" w:rsidP="00D50A10">
            <w:pPr>
              <w:tabs>
                <w:tab w:val="left" w:pos="1701"/>
              </w:tabs>
              <w:jc w:val="both"/>
              <w:rPr>
                <w:sz w:val="20"/>
              </w:rPr>
            </w:pPr>
          </w:p>
        </w:tc>
      </w:tr>
    </w:tbl>
    <w:p w:rsidR="008B6648" w:rsidRDefault="008B6648">
      <w:pPr>
        <w:jc w:val="both"/>
        <w:rPr>
          <w:sz w:val="20"/>
        </w:rPr>
      </w:pPr>
    </w:p>
    <w:p w:rsidR="008B6648" w:rsidRDefault="008B6648">
      <w:pPr>
        <w:rPr>
          <w:color w:val="000000"/>
          <w:sz w:val="20"/>
        </w:rPr>
      </w:pPr>
      <w:r>
        <w:rPr>
          <w:color w:val="000000"/>
          <w:sz w:val="20"/>
        </w:rPr>
        <w:t xml:space="preserve">hiermit </w:t>
      </w:r>
    </w:p>
    <w:p w:rsidR="008B6648" w:rsidRDefault="008B6648">
      <w:pPr>
        <w:rPr>
          <w:color w:val="000000"/>
          <w:sz w:val="20"/>
        </w:rPr>
      </w:pPr>
      <w:r>
        <w:rPr>
          <w:color w:val="000000"/>
          <w:sz w:val="20"/>
          <w:vertAlign w:val="superscript"/>
        </w:rPr>
        <w:t>*)</w:t>
      </w:r>
    </w:p>
    <w:tbl>
      <w:tblPr>
        <w:tblW w:w="0" w:type="auto"/>
        <w:jc w:val="center"/>
        <w:tblLayout w:type="fixed"/>
        <w:tblCellMar>
          <w:left w:w="70" w:type="dxa"/>
          <w:right w:w="70" w:type="dxa"/>
        </w:tblCellMar>
        <w:tblLook w:val="0000" w:firstRow="0" w:lastRow="0" w:firstColumn="0" w:lastColumn="0" w:noHBand="0" w:noVBand="0"/>
      </w:tblPr>
      <w:tblGrid>
        <w:gridCol w:w="251"/>
        <w:gridCol w:w="9757"/>
      </w:tblGrid>
      <w:tr w:rsidR="008B6648">
        <w:tblPrEx>
          <w:tblCellMar>
            <w:top w:w="0" w:type="dxa"/>
            <w:bottom w:w="0" w:type="dxa"/>
          </w:tblCellMar>
        </w:tblPrEx>
        <w:trPr>
          <w:trHeight w:val="244"/>
          <w:jc w:val="center"/>
        </w:trPr>
        <w:tc>
          <w:tcPr>
            <w:tcW w:w="251" w:type="dxa"/>
            <w:tcBorders>
              <w:top w:val="single" w:sz="4" w:space="0" w:color="auto"/>
              <w:left w:val="single" w:sz="4" w:space="0" w:color="auto"/>
              <w:bottom w:val="single" w:sz="4" w:space="0" w:color="auto"/>
              <w:right w:val="single" w:sz="4" w:space="0" w:color="auto"/>
            </w:tcBorders>
          </w:tcPr>
          <w:p w:rsidR="008B6648" w:rsidRDefault="008B6648">
            <w:pPr>
              <w:pStyle w:val="Textkrper-Einzug2"/>
              <w:ind w:left="0" w:firstLine="0"/>
              <w:rPr>
                <w:b/>
              </w:rPr>
            </w:pPr>
          </w:p>
        </w:tc>
        <w:tc>
          <w:tcPr>
            <w:tcW w:w="9757" w:type="dxa"/>
            <w:tcBorders>
              <w:left w:val="nil"/>
            </w:tcBorders>
          </w:tcPr>
          <w:p w:rsidR="008B6648" w:rsidRDefault="008B6648">
            <w:pPr>
              <w:pStyle w:val="Textkrper-Einzug2"/>
              <w:ind w:left="0" w:firstLine="0"/>
            </w:pPr>
            <w:r>
              <w:rPr>
                <w:sz w:val="18"/>
              </w:rPr>
              <w:t xml:space="preserve">zur außergerichtlichen Vertretung Vollmacht erteilt. Die Vollmacht umfasst insbesondere folgende Befugnisse: </w:t>
            </w:r>
          </w:p>
        </w:tc>
      </w:tr>
    </w:tbl>
    <w:p w:rsidR="008B6648" w:rsidRDefault="008B6648">
      <w:pPr>
        <w:pStyle w:val="Textkrper-Einzug2"/>
        <w:ind w:left="567" w:hanging="567"/>
        <w:rPr>
          <w:sz w:val="18"/>
        </w:rPr>
      </w:pPr>
      <w:r>
        <w:tab/>
      </w:r>
    </w:p>
    <w:p w:rsidR="008B6648" w:rsidRDefault="008B6648">
      <w:pPr>
        <w:pStyle w:val="Textkrper-Einzug3"/>
        <w:ind w:left="284" w:hanging="284"/>
        <w:jc w:val="both"/>
      </w:pPr>
      <w:r>
        <w:t>1.</w:t>
      </w:r>
      <w:r>
        <w:tab/>
        <w:t>Außergerichtliche Verhandlungen aller Art, Abschlu</w:t>
      </w:r>
      <w:r w:rsidR="00CD45A8">
        <w:t>ss</w:t>
      </w:r>
      <w:r>
        <w:t xml:space="preserve"> eines Vergleichs zur Vermeidung eines Rechtsstreits; </w:t>
      </w:r>
    </w:p>
    <w:p w:rsidR="008B6648" w:rsidRDefault="008B6648">
      <w:pPr>
        <w:pStyle w:val="Textkrper-Einzug3"/>
        <w:ind w:left="284" w:hanging="284"/>
        <w:jc w:val="both"/>
      </w:pPr>
      <w:r>
        <w:t xml:space="preserve">2. </w:t>
      </w:r>
      <w:r>
        <w:tab/>
        <w:t xml:space="preserve">In Unfallsachen </w:t>
      </w:r>
      <w:r w:rsidR="00794FE4">
        <w:t xml:space="preserve">die </w:t>
      </w:r>
      <w:r>
        <w:t xml:space="preserve">Geltendmachung von Ansprüchen gegen Schädiger, Fahrzeughalter und deren Versicherer; </w:t>
      </w:r>
    </w:p>
    <w:p w:rsidR="008B6648" w:rsidRDefault="008B6648">
      <w:pPr>
        <w:numPr>
          <w:ilvl w:val="0"/>
          <w:numId w:val="2"/>
        </w:numPr>
        <w:spacing w:after="240"/>
        <w:ind w:left="284" w:hanging="284"/>
        <w:jc w:val="both"/>
        <w:rPr>
          <w:color w:val="000000"/>
          <w:sz w:val="18"/>
        </w:rPr>
      </w:pPr>
      <w:r>
        <w:rPr>
          <w:color w:val="000000"/>
          <w:sz w:val="18"/>
        </w:rPr>
        <w:t>3.</w:t>
      </w:r>
      <w:r>
        <w:rPr>
          <w:color w:val="000000"/>
          <w:sz w:val="18"/>
        </w:rPr>
        <w:tab/>
        <w:t xml:space="preserve">Entgegennahme von Zahlungen, Wertsachen und Urkunden; </w:t>
      </w:r>
    </w:p>
    <w:p w:rsidR="008B6648" w:rsidRDefault="008B6648">
      <w:pPr>
        <w:numPr>
          <w:ilvl w:val="0"/>
          <w:numId w:val="2"/>
        </w:numPr>
        <w:spacing w:after="240"/>
        <w:ind w:left="284" w:hanging="284"/>
        <w:jc w:val="both"/>
        <w:rPr>
          <w:color w:val="000000"/>
          <w:sz w:val="18"/>
        </w:rPr>
      </w:pPr>
      <w:r>
        <w:rPr>
          <w:color w:val="000000"/>
          <w:sz w:val="18"/>
        </w:rPr>
        <w:t>4.</w:t>
      </w:r>
      <w:r>
        <w:rPr>
          <w:color w:val="000000"/>
          <w:sz w:val="18"/>
        </w:rPr>
        <w:tab/>
        <w:t xml:space="preserve">Stellung von Strafanträgen sowie deren Rücknahme, Vertretung als Nebenkläger in einem Strafverfahren; </w:t>
      </w:r>
    </w:p>
    <w:p w:rsidR="008B6648" w:rsidRDefault="008B6648">
      <w:pPr>
        <w:numPr>
          <w:ilvl w:val="0"/>
          <w:numId w:val="2"/>
        </w:numPr>
        <w:spacing w:after="240"/>
        <w:ind w:left="284" w:hanging="284"/>
        <w:jc w:val="both"/>
        <w:rPr>
          <w:color w:val="000000"/>
          <w:sz w:val="18"/>
        </w:rPr>
      </w:pPr>
      <w:r>
        <w:rPr>
          <w:color w:val="000000"/>
          <w:sz w:val="18"/>
        </w:rPr>
        <w:t>5.</w:t>
      </w:r>
      <w:r>
        <w:rPr>
          <w:color w:val="000000"/>
          <w:sz w:val="18"/>
        </w:rPr>
        <w:tab/>
        <w:t xml:space="preserve">Akteneinsicht; </w:t>
      </w:r>
    </w:p>
    <w:p w:rsidR="008B6648" w:rsidRDefault="008B6648">
      <w:pPr>
        <w:numPr>
          <w:ilvl w:val="0"/>
          <w:numId w:val="2"/>
        </w:numPr>
        <w:spacing w:after="240"/>
        <w:ind w:left="284" w:hanging="284"/>
        <w:jc w:val="both"/>
        <w:rPr>
          <w:sz w:val="20"/>
        </w:rPr>
      </w:pPr>
      <w:r>
        <w:rPr>
          <w:sz w:val="18"/>
        </w:rPr>
        <w:t>6.</w:t>
      </w:r>
      <w:r>
        <w:rPr>
          <w:sz w:val="18"/>
        </w:rPr>
        <w:tab/>
        <w:t xml:space="preserve">Begründung und Aufhebung von Vertragsverhältnissen, Abgabe und Entgegennahme von einseitigen Willenserklärungen (z.B. Kündigung) im Zusammenhang mit den oben unter „wegen...„ genannten Angelegenheiten. </w:t>
      </w:r>
    </w:p>
    <w:p w:rsidR="008B6648" w:rsidRPr="00794FE4" w:rsidRDefault="008B6648">
      <w:pPr>
        <w:jc w:val="both"/>
        <w:rPr>
          <w:b/>
          <w:sz w:val="20"/>
        </w:rPr>
      </w:pPr>
      <w:r>
        <w:rPr>
          <w:b/>
          <w:sz w:val="20"/>
        </w:rPr>
        <w:t>und/oder</w:t>
      </w:r>
      <w:r w:rsidR="00794FE4">
        <w:rPr>
          <w:b/>
          <w:sz w:val="20"/>
        </w:rPr>
        <w:t xml:space="preserve"> </w:t>
      </w:r>
      <w:r w:rsidR="00794FE4" w:rsidRPr="003D3CC3">
        <w:rPr>
          <w:sz w:val="16"/>
          <w:szCs w:val="16"/>
        </w:rPr>
        <w:t>(Nichtzutreffendes bitte streichen</w:t>
      </w:r>
      <w:r w:rsidR="00794FE4">
        <w:rPr>
          <w:sz w:val="16"/>
          <w:szCs w:val="16"/>
        </w:rPr>
        <w:t>)</w:t>
      </w:r>
    </w:p>
    <w:p w:rsidR="008B6648" w:rsidRDefault="008B6648">
      <w:pPr>
        <w:jc w:val="both"/>
        <w:rPr>
          <w:sz w:val="20"/>
          <w:vertAlign w:val="superscript"/>
        </w:rPr>
      </w:pPr>
      <w:r>
        <w:rPr>
          <w:sz w:val="20"/>
          <w:vertAlign w:val="superscript"/>
        </w:rPr>
        <w:t>*)</w:t>
      </w:r>
    </w:p>
    <w:tbl>
      <w:tblPr>
        <w:tblW w:w="0" w:type="auto"/>
        <w:jc w:val="center"/>
        <w:tblLayout w:type="fixed"/>
        <w:tblCellMar>
          <w:left w:w="70" w:type="dxa"/>
          <w:right w:w="70" w:type="dxa"/>
        </w:tblCellMar>
        <w:tblLook w:val="0000" w:firstRow="0" w:lastRow="0" w:firstColumn="0" w:lastColumn="0" w:noHBand="0" w:noVBand="0"/>
      </w:tblPr>
      <w:tblGrid>
        <w:gridCol w:w="225"/>
        <w:gridCol w:w="9783"/>
      </w:tblGrid>
      <w:tr w:rsidR="008B6648">
        <w:tblPrEx>
          <w:tblCellMar>
            <w:top w:w="0" w:type="dxa"/>
            <w:bottom w:w="0" w:type="dxa"/>
          </w:tblCellMar>
        </w:tblPrEx>
        <w:trPr>
          <w:jc w:val="center"/>
        </w:trPr>
        <w:tc>
          <w:tcPr>
            <w:tcW w:w="225" w:type="dxa"/>
            <w:tcBorders>
              <w:top w:val="single" w:sz="4" w:space="0" w:color="auto"/>
              <w:left w:val="single" w:sz="4" w:space="0" w:color="auto"/>
              <w:bottom w:val="single" w:sz="4" w:space="0" w:color="auto"/>
              <w:right w:val="single" w:sz="4" w:space="0" w:color="auto"/>
            </w:tcBorders>
          </w:tcPr>
          <w:p w:rsidR="008B6648" w:rsidRDefault="008B6648">
            <w:pPr>
              <w:pStyle w:val="Textkrper-Einzug2"/>
              <w:ind w:left="0" w:firstLine="0"/>
              <w:rPr>
                <w:b/>
              </w:rPr>
            </w:pPr>
          </w:p>
        </w:tc>
        <w:tc>
          <w:tcPr>
            <w:tcW w:w="9783" w:type="dxa"/>
            <w:tcBorders>
              <w:left w:val="nil"/>
            </w:tcBorders>
          </w:tcPr>
          <w:p w:rsidR="008B6648" w:rsidRDefault="008B6648">
            <w:pPr>
              <w:pStyle w:val="Textkrper-Einzug2"/>
              <w:ind w:left="0" w:firstLine="0"/>
            </w:pPr>
            <w:r>
              <w:rPr>
                <w:sz w:val="18"/>
              </w:rPr>
              <w:t xml:space="preserve">Prozessvollmacht gem. </w:t>
            </w:r>
            <w:r w:rsidR="00DF0E56">
              <w:rPr>
                <w:sz w:val="18"/>
              </w:rPr>
              <w:t>§</w:t>
            </w:r>
            <w:r>
              <w:rPr>
                <w:sz w:val="18"/>
              </w:rPr>
              <w:t>§ 81 ff. ZPO erteilt. Diese Vollmacht erstreckt sich insbesondere auf folgende Befugnisse:</w:t>
            </w:r>
          </w:p>
        </w:tc>
      </w:tr>
    </w:tbl>
    <w:p w:rsidR="008B6648" w:rsidRDefault="008B6648">
      <w:pPr>
        <w:jc w:val="both"/>
        <w:rPr>
          <w:sz w:val="18"/>
        </w:rPr>
      </w:pPr>
    </w:p>
    <w:p w:rsidR="008B6648" w:rsidRDefault="008B6648">
      <w:pPr>
        <w:ind w:left="284" w:hanging="284"/>
        <w:jc w:val="both"/>
        <w:rPr>
          <w:sz w:val="18"/>
        </w:rPr>
      </w:pPr>
      <w:r>
        <w:rPr>
          <w:sz w:val="18"/>
        </w:rPr>
        <w:t>1.</w:t>
      </w:r>
      <w:r>
        <w:rPr>
          <w:sz w:val="18"/>
        </w:rPr>
        <w:tab/>
        <w:t>Empfangnahme und Freigabe von Geld, Wertsachen, Urkunden und Sicherheiten, insbesondere des Streit</w:t>
      </w:r>
      <w:r>
        <w:rPr>
          <w:sz w:val="18"/>
        </w:rPr>
        <w:softHyphen/>
        <w:t>gegenstandes und der vom Gegner, von der Justizkasse oder anderen Stellen zu erstattenden Kosten.</w:t>
      </w:r>
    </w:p>
    <w:p w:rsidR="008B6648" w:rsidRDefault="008B6648">
      <w:pPr>
        <w:ind w:left="284" w:hanging="284"/>
        <w:jc w:val="both"/>
        <w:rPr>
          <w:sz w:val="18"/>
        </w:rPr>
      </w:pPr>
    </w:p>
    <w:p w:rsidR="008B6648" w:rsidRDefault="008B6648">
      <w:pPr>
        <w:ind w:left="284" w:hanging="284"/>
        <w:jc w:val="both"/>
        <w:rPr>
          <w:sz w:val="18"/>
        </w:rPr>
      </w:pPr>
      <w:r>
        <w:rPr>
          <w:sz w:val="18"/>
        </w:rPr>
        <w:t>2.</w:t>
      </w:r>
      <w:r>
        <w:rPr>
          <w:sz w:val="18"/>
        </w:rPr>
        <w:tab/>
        <w:t>Übertragung der Vollmacht ganz oder teilweise auf andere.</w:t>
      </w:r>
    </w:p>
    <w:p w:rsidR="008B6648" w:rsidRDefault="008B6648">
      <w:pPr>
        <w:ind w:left="284" w:hanging="284"/>
        <w:jc w:val="both"/>
        <w:rPr>
          <w:sz w:val="18"/>
        </w:rPr>
      </w:pPr>
    </w:p>
    <w:p w:rsidR="008B6648" w:rsidRDefault="008B6648">
      <w:pPr>
        <w:ind w:left="284" w:hanging="284"/>
        <w:jc w:val="both"/>
        <w:rPr>
          <w:sz w:val="18"/>
        </w:rPr>
      </w:pPr>
      <w:r>
        <w:rPr>
          <w:sz w:val="18"/>
        </w:rPr>
        <w:t>3.</w:t>
      </w:r>
      <w:r>
        <w:rPr>
          <w:sz w:val="18"/>
        </w:rPr>
        <w:tab/>
        <w:t>Entgegennahme von Zustellungen und sonstigen Mitteilungen, Einlegung und Rücknahme von Rechtsmitteln sowie Verzicht auf solche, Erhebung und Rücknahme von Widerklagen - auch in Ehesachen.</w:t>
      </w:r>
    </w:p>
    <w:p w:rsidR="008B6648" w:rsidRDefault="008B6648">
      <w:pPr>
        <w:ind w:left="284" w:hanging="284"/>
        <w:jc w:val="both"/>
        <w:rPr>
          <w:sz w:val="18"/>
        </w:rPr>
      </w:pPr>
    </w:p>
    <w:p w:rsidR="008B6648" w:rsidRDefault="008B6648">
      <w:pPr>
        <w:ind w:left="284" w:hanging="284"/>
        <w:jc w:val="both"/>
        <w:rPr>
          <w:sz w:val="18"/>
        </w:rPr>
      </w:pPr>
      <w:r>
        <w:rPr>
          <w:sz w:val="18"/>
        </w:rPr>
        <w:t>4.</w:t>
      </w:r>
      <w:r>
        <w:rPr>
          <w:sz w:val="18"/>
        </w:rPr>
        <w:tab/>
      </w:r>
      <w:r w:rsidR="009C499B">
        <w:rPr>
          <w:sz w:val="18"/>
        </w:rPr>
        <w:t xml:space="preserve">Beendigung </w:t>
      </w:r>
      <w:r>
        <w:rPr>
          <w:sz w:val="18"/>
        </w:rPr>
        <w:t>des Rechtsstreits durch Vergleich, Verzicht oder Anerkenntnis.</w:t>
      </w:r>
    </w:p>
    <w:p w:rsidR="008B6648" w:rsidRDefault="008B6648">
      <w:pPr>
        <w:ind w:left="284" w:hanging="284"/>
        <w:jc w:val="both"/>
        <w:rPr>
          <w:sz w:val="18"/>
        </w:rPr>
      </w:pPr>
    </w:p>
    <w:p w:rsidR="008B6648" w:rsidRDefault="008B6648">
      <w:pPr>
        <w:ind w:left="284" w:hanging="284"/>
        <w:jc w:val="both"/>
        <w:rPr>
          <w:sz w:val="18"/>
        </w:rPr>
      </w:pPr>
      <w:r>
        <w:rPr>
          <w:sz w:val="18"/>
        </w:rPr>
        <w:t>5.</w:t>
      </w:r>
      <w:r>
        <w:rPr>
          <w:sz w:val="18"/>
        </w:rPr>
        <w:tab/>
        <w:t>Vertretung vor den Familiengerichten</w:t>
      </w:r>
      <w:r w:rsidR="00CD45A8">
        <w:rPr>
          <w:sz w:val="18"/>
        </w:rPr>
        <w:t xml:space="preserve">, insbesondere in Ehesachen und Folgesachen sowie in selbständigen Familienrechtstreitsachen gemäß § 114 Abs. 1 und 5 FamFG einschließlich </w:t>
      </w:r>
      <w:r>
        <w:rPr>
          <w:sz w:val="18"/>
        </w:rPr>
        <w:t>Abschlu</w:t>
      </w:r>
      <w:r w:rsidR="00CD45A8">
        <w:rPr>
          <w:sz w:val="18"/>
        </w:rPr>
        <w:t>ss</w:t>
      </w:r>
      <w:r>
        <w:rPr>
          <w:sz w:val="18"/>
        </w:rPr>
        <w:t xml:space="preserve"> von Vereinbarungen über Scheidungsfolgen und Stellung von Anträgen auf Erteilung von Renten- und sonstigen Versorgungsauskünften.</w:t>
      </w:r>
    </w:p>
    <w:p w:rsidR="008B6648" w:rsidRDefault="008B6648">
      <w:pPr>
        <w:ind w:left="284" w:hanging="284"/>
        <w:jc w:val="both"/>
        <w:rPr>
          <w:sz w:val="18"/>
        </w:rPr>
      </w:pPr>
    </w:p>
    <w:p w:rsidR="008B6648" w:rsidRDefault="008B6648">
      <w:pPr>
        <w:ind w:left="284" w:hanging="284"/>
        <w:jc w:val="both"/>
        <w:rPr>
          <w:sz w:val="18"/>
        </w:rPr>
      </w:pPr>
      <w:r>
        <w:rPr>
          <w:sz w:val="18"/>
        </w:rPr>
        <w:t>6.</w:t>
      </w:r>
      <w:r>
        <w:rPr>
          <w:sz w:val="18"/>
        </w:rPr>
        <w:tab/>
        <w:t>Vertretung im Konkurs-, Insolvenz- oder Vergleichsverfahren über das Vermögen des Gegners und in Frei</w:t>
      </w:r>
      <w:r>
        <w:rPr>
          <w:sz w:val="18"/>
        </w:rPr>
        <w:softHyphen/>
        <w:t>gabepro</w:t>
      </w:r>
      <w:r>
        <w:rPr>
          <w:sz w:val="18"/>
        </w:rPr>
        <w:softHyphen/>
        <w:t>zessen sowie als Nebenintervenient, Anmeldung von Forderungen.</w:t>
      </w:r>
    </w:p>
    <w:p w:rsidR="008B6648" w:rsidRDefault="008B6648">
      <w:pPr>
        <w:ind w:left="284" w:hanging="284"/>
        <w:jc w:val="both"/>
        <w:rPr>
          <w:sz w:val="18"/>
        </w:rPr>
      </w:pPr>
    </w:p>
    <w:p w:rsidR="008B6648" w:rsidRDefault="008B6648">
      <w:pPr>
        <w:ind w:left="284" w:hanging="284"/>
        <w:jc w:val="both"/>
        <w:rPr>
          <w:sz w:val="18"/>
        </w:rPr>
      </w:pPr>
      <w:r>
        <w:rPr>
          <w:sz w:val="18"/>
        </w:rPr>
        <w:t>7.</w:t>
      </w:r>
      <w:r>
        <w:rPr>
          <w:sz w:val="18"/>
        </w:rPr>
        <w:tab/>
      </w:r>
      <w:r w:rsidR="00A32722">
        <w:rPr>
          <w:sz w:val="18"/>
        </w:rPr>
        <w:t xml:space="preserve">Durchführung von </w:t>
      </w:r>
      <w:r>
        <w:rPr>
          <w:sz w:val="18"/>
        </w:rPr>
        <w:t>Nebenverfahren, z.B. Arrest und einstweilige Verfügung, Kostenfestsetzung, Zwangsvoll</w:t>
      </w:r>
      <w:r>
        <w:rPr>
          <w:sz w:val="18"/>
        </w:rPr>
        <w:softHyphen/>
        <w:t>streckung ein</w:t>
      </w:r>
      <w:r>
        <w:rPr>
          <w:sz w:val="18"/>
        </w:rPr>
        <w:softHyphen/>
        <w:t>schließlich der aus ihr erwachsenden besonderen Verfahren, Zwangsversteigerung und Zwangsverwaltung und Hinterlegungsverfahren.</w:t>
      </w:r>
    </w:p>
    <w:p w:rsidR="008B6648" w:rsidRDefault="008B6648" w:rsidP="00386F51">
      <w:pPr>
        <w:jc w:val="both"/>
        <w:rPr>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2835"/>
        <w:gridCol w:w="709"/>
        <w:gridCol w:w="1559"/>
        <w:gridCol w:w="1134"/>
        <w:gridCol w:w="3402"/>
      </w:tblGrid>
      <w:tr w:rsidR="00C25658" w:rsidTr="00ED0A96">
        <w:tblPrEx>
          <w:tblCellMar>
            <w:top w:w="0" w:type="dxa"/>
            <w:bottom w:w="0" w:type="dxa"/>
          </w:tblCellMar>
        </w:tblPrEx>
        <w:tc>
          <w:tcPr>
            <w:tcW w:w="2835" w:type="dxa"/>
            <w:tcBorders>
              <w:bottom w:val="single" w:sz="4" w:space="0" w:color="auto"/>
            </w:tcBorders>
          </w:tcPr>
          <w:p w:rsidR="00C25658" w:rsidRDefault="00C25658" w:rsidP="00ED0A96">
            <w:pPr>
              <w:jc w:val="both"/>
              <w:rPr>
                <w:sz w:val="20"/>
              </w:rPr>
            </w:pPr>
          </w:p>
          <w:p w:rsidR="00386F51" w:rsidRDefault="00386F51" w:rsidP="00ED0A96">
            <w:pPr>
              <w:jc w:val="both"/>
              <w:rPr>
                <w:sz w:val="20"/>
              </w:rPr>
            </w:pPr>
          </w:p>
        </w:tc>
        <w:tc>
          <w:tcPr>
            <w:tcW w:w="709" w:type="dxa"/>
          </w:tcPr>
          <w:p w:rsidR="00C25658" w:rsidRDefault="00C25658" w:rsidP="00ED0A96">
            <w:pPr>
              <w:jc w:val="both"/>
              <w:rPr>
                <w:sz w:val="20"/>
              </w:rPr>
            </w:pPr>
          </w:p>
          <w:p w:rsidR="00386F51" w:rsidRDefault="00386F51" w:rsidP="00ED0A96">
            <w:pPr>
              <w:jc w:val="both"/>
              <w:rPr>
                <w:sz w:val="20"/>
              </w:rPr>
            </w:pPr>
            <w:r>
              <w:rPr>
                <w:sz w:val="20"/>
              </w:rPr>
              <w:t>,</w:t>
            </w:r>
          </w:p>
        </w:tc>
        <w:tc>
          <w:tcPr>
            <w:tcW w:w="1559" w:type="dxa"/>
            <w:tcBorders>
              <w:bottom w:val="single" w:sz="4" w:space="0" w:color="auto"/>
            </w:tcBorders>
          </w:tcPr>
          <w:p w:rsidR="00C25658" w:rsidRDefault="00C25658" w:rsidP="00ED0A96">
            <w:pPr>
              <w:jc w:val="both"/>
              <w:rPr>
                <w:sz w:val="20"/>
              </w:rPr>
            </w:pPr>
          </w:p>
        </w:tc>
        <w:tc>
          <w:tcPr>
            <w:tcW w:w="1134" w:type="dxa"/>
          </w:tcPr>
          <w:p w:rsidR="00C25658" w:rsidRDefault="00C25658" w:rsidP="00ED0A96">
            <w:pPr>
              <w:jc w:val="both"/>
              <w:rPr>
                <w:sz w:val="20"/>
              </w:rPr>
            </w:pPr>
          </w:p>
        </w:tc>
        <w:tc>
          <w:tcPr>
            <w:tcW w:w="3402" w:type="dxa"/>
            <w:tcBorders>
              <w:bottom w:val="single" w:sz="4" w:space="0" w:color="auto"/>
            </w:tcBorders>
          </w:tcPr>
          <w:p w:rsidR="00C25658" w:rsidRDefault="00C25658" w:rsidP="00ED0A96">
            <w:pPr>
              <w:jc w:val="both"/>
              <w:rPr>
                <w:sz w:val="20"/>
              </w:rPr>
            </w:pPr>
          </w:p>
        </w:tc>
      </w:tr>
      <w:tr w:rsidR="00C25658" w:rsidTr="00ED0A96">
        <w:tblPrEx>
          <w:tblCellMar>
            <w:top w:w="0" w:type="dxa"/>
            <w:bottom w:w="0" w:type="dxa"/>
          </w:tblCellMar>
        </w:tblPrEx>
        <w:tc>
          <w:tcPr>
            <w:tcW w:w="2835" w:type="dxa"/>
          </w:tcPr>
          <w:p w:rsidR="00C25658" w:rsidRDefault="00C25658" w:rsidP="00ED0A96">
            <w:pPr>
              <w:jc w:val="both"/>
              <w:rPr>
                <w:sz w:val="20"/>
              </w:rPr>
            </w:pPr>
            <w:r>
              <w:rPr>
                <w:sz w:val="20"/>
              </w:rPr>
              <w:t>(Ort)</w:t>
            </w:r>
          </w:p>
        </w:tc>
        <w:tc>
          <w:tcPr>
            <w:tcW w:w="709" w:type="dxa"/>
          </w:tcPr>
          <w:p w:rsidR="00C25658" w:rsidRDefault="00C25658" w:rsidP="00ED0A96">
            <w:pPr>
              <w:jc w:val="both"/>
              <w:rPr>
                <w:sz w:val="20"/>
              </w:rPr>
            </w:pPr>
          </w:p>
        </w:tc>
        <w:tc>
          <w:tcPr>
            <w:tcW w:w="1559" w:type="dxa"/>
          </w:tcPr>
          <w:p w:rsidR="00C25658" w:rsidRDefault="00C25658" w:rsidP="00ED0A96">
            <w:pPr>
              <w:jc w:val="both"/>
              <w:rPr>
                <w:sz w:val="20"/>
              </w:rPr>
            </w:pPr>
            <w:r>
              <w:rPr>
                <w:sz w:val="20"/>
              </w:rPr>
              <w:t>(Datum)</w:t>
            </w:r>
          </w:p>
        </w:tc>
        <w:tc>
          <w:tcPr>
            <w:tcW w:w="1134" w:type="dxa"/>
          </w:tcPr>
          <w:p w:rsidR="00C25658" w:rsidRDefault="00C25658" w:rsidP="00ED0A96">
            <w:pPr>
              <w:jc w:val="both"/>
              <w:rPr>
                <w:sz w:val="20"/>
              </w:rPr>
            </w:pPr>
          </w:p>
        </w:tc>
        <w:tc>
          <w:tcPr>
            <w:tcW w:w="3402" w:type="dxa"/>
          </w:tcPr>
          <w:p w:rsidR="00C25658" w:rsidRDefault="00C25658" w:rsidP="00ED0A96">
            <w:pPr>
              <w:jc w:val="both"/>
              <w:rPr>
                <w:sz w:val="20"/>
              </w:rPr>
            </w:pPr>
            <w:r>
              <w:rPr>
                <w:sz w:val="20"/>
              </w:rPr>
              <w:t>(Unterschrift Mandant)</w:t>
            </w:r>
          </w:p>
        </w:tc>
      </w:tr>
    </w:tbl>
    <w:p w:rsidR="00386F51" w:rsidRDefault="00386F51" w:rsidP="00C25658">
      <w:pPr>
        <w:jc w:val="both"/>
        <w:rPr>
          <w:b/>
          <w:snapToGrid w:val="0"/>
          <w:sz w:val="20"/>
        </w:rPr>
      </w:pPr>
    </w:p>
    <w:p w:rsidR="00C25658" w:rsidRDefault="00C25658" w:rsidP="00C25658">
      <w:pPr>
        <w:jc w:val="both"/>
        <w:rPr>
          <w:b/>
          <w:snapToGrid w:val="0"/>
          <w:sz w:val="20"/>
        </w:rPr>
      </w:pPr>
      <w:r>
        <w:rPr>
          <w:b/>
          <w:snapToGrid w:val="0"/>
          <w:sz w:val="20"/>
        </w:rPr>
        <w:t>Gemäß § 49b Abs. 5 BRAO wurde der M</w:t>
      </w:r>
      <w:r w:rsidR="00EB624B">
        <w:rPr>
          <w:b/>
          <w:snapToGrid w:val="0"/>
          <w:sz w:val="20"/>
        </w:rPr>
        <w:t xml:space="preserve">andant darauf hingewiesen, dass </w:t>
      </w:r>
      <w:r>
        <w:rPr>
          <w:b/>
          <w:snapToGrid w:val="0"/>
          <w:sz w:val="20"/>
        </w:rPr>
        <w:t xml:space="preserve">sich die anwaltlichen Gebühren </w:t>
      </w:r>
      <w:r w:rsidR="00E8097B">
        <w:rPr>
          <w:b/>
          <w:snapToGrid w:val="0"/>
          <w:sz w:val="20"/>
        </w:rPr>
        <w:t xml:space="preserve">– mit Ausnahme von Strafverfahren und Ordnungswidrigkeitenverfahren – </w:t>
      </w:r>
      <w:r>
        <w:rPr>
          <w:b/>
          <w:snapToGrid w:val="0"/>
          <w:sz w:val="20"/>
        </w:rPr>
        <w:t>üblicherweise nach dem der Angelegenheit zugrunde liegenden Gegenstandswert (Streitwert) ermitteln, und dass insbesondere Festgebühren der anwaltlichen Vergütungsberechnung nicht zugrunde gelegt werden. Dies bedeutet, dass die Höhe der Vergütung von der Höhe des Gegenstandswerts abhängig ist und dass bei hohen Gegenstandswerten auch mit einer entsprechend hohen Vergütung gerechnet werden muss.</w:t>
      </w:r>
    </w:p>
    <w:p w:rsidR="00386F51" w:rsidRPr="00386F51" w:rsidRDefault="00386F51" w:rsidP="00C25658">
      <w:pPr>
        <w:jc w:val="both"/>
        <w:rPr>
          <w:sz w:val="16"/>
        </w:rPr>
      </w:pPr>
    </w:p>
    <w:p w:rsidR="004F751D" w:rsidRDefault="004F751D">
      <w:pPr>
        <w:ind w:left="284" w:hanging="284"/>
        <w:jc w:val="both"/>
        <w:rPr>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2835"/>
        <w:gridCol w:w="709"/>
        <w:gridCol w:w="1559"/>
        <w:gridCol w:w="1134"/>
        <w:gridCol w:w="3402"/>
      </w:tblGrid>
      <w:tr w:rsidR="008B6648">
        <w:tblPrEx>
          <w:tblCellMar>
            <w:top w:w="0" w:type="dxa"/>
            <w:bottom w:w="0" w:type="dxa"/>
          </w:tblCellMar>
        </w:tblPrEx>
        <w:tc>
          <w:tcPr>
            <w:tcW w:w="2835" w:type="dxa"/>
            <w:tcBorders>
              <w:bottom w:val="single" w:sz="4" w:space="0" w:color="auto"/>
            </w:tcBorders>
          </w:tcPr>
          <w:p w:rsidR="008B6648" w:rsidRDefault="008B6648" w:rsidP="00EC4DA1">
            <w:pPr>
              <w:jc w:val="both"/>
              <w:rPr>
                <w:sz w:val="20"/>
              </w:rPr>
            </w:pPr>
          </w:p>
        </w:tc>
        <w:tc>
          <w:tcPr>
            <w:tcW w:w="709" w:type="dxa"/>
          </w:tcPr>
          <w:p w:rsidR="008B6648" w:rsidRDefault="00C25658" w:rsidP="006D1E00">
            <w:pPr>
              <w:jc w:val="both"/>
              <w:rPr>
                <w:sz w:val="20"/>
              </w:rPr>
            </w:pPr>
            <w:r>
              <w:rPr>
                <w:sz w:val="20"/>
              </w:rPr>
              <w:t>,</w:t>
            </w:r>
          </w:p>
        </w:tc>
        <w:tc>
          <w:tcPr>
            <w:tcW w:w="1559" w:type="dxa"/>
            <w:tcBorders>
              <w:bottom w:val="single" w:sz="4" w:space="0" w:color="auto"/>
            </w:tcBorders>
          </w:tcPr>
          <w:p w:rsidR="008B6648" w:rsidRDefault="008B6648" w:rsidP="00D01D64">
            <w:pPr>
              <w:jc w:val="both"/>
              <w:rPr>
                <w:sz w:val="20"/>
              </w:rPr>
            </w:pPr>
          </w:p>
        </w:tc>
        <w:tc>
          <w:tcPr>
            <w:tcW w:w="1134" w:type="dxa"/>
          </w:tcPr>
          <w:p w:rsidR="008B6648" w:rsidRDefault="008B6648">
            <w:pPr>
              <w:jc w:val="both"/>
              <w:rPr>
                <w:sz w:val="20"/>
              </w:rPr>
            </w:pPr>
          </w:p>
        </w:tc>
        <w:tc>
          <w:tcPr>
            <w:tcW w:w="3402" w:type="dxa"/>
            <w:tcBorders>
              <w:bottom w:val="single" w:sz="4" w:space="0" w:color="auto"/>
            </w:tcBorders>
          </w:tcPr>
          <w:p w:rsidR="008B6648" w:rsidRDefault="008B6648">
            <w:pPr>
              <w:jc w:val="both"/>
              <w:rPr>
                <w:sz w:val="20"/>
              </w:rPr>
            </w:pPr>
          </w:p>
        </w:tc>
      </w:tr>
      <w:tr w:rsidR="008B6648">
        <w:tblPrEx>
          <w:tblCellMar>
            <w:top w:w="0" w:type="dxa"/>
            <w:bottom w:w="0" w:type="dxa"/>
          </w:tblCellMar>
        </w:tblPrEx>
        <w:tc>
          <w:tcPr>
            <w:tcW w:w="2835" w:type="dxa"/>
          </w:tcPr>
          <w:p w:rsidR="008B6648" w:rsidRDefault="00C25658">
            <w:pPr>
              <w:jc w:val="both"/>
              <w:rPr>
                <w:sz w:val="20"/>
              </w:rPr>
            </w:pPr>
            <w:r>
              <w:rPr>
                <w:sz w:val="20"/>
              </w:rPr>
              <w:t>(Ort)</w:t>
            </w:r>
          </w:p>
        </w:tc>
        <w:tc>
          <w:tcPr>
            <w:tcW w:w="709" w:type="dxa"/>
          </w:tcPr>
          <w:p w:rsidR="008B6648" w:rsidRDefault="008B6648">
            <w:pPr>
              <w:jc w:val="both"/>
              <w:rPr>
                <w:sz w:val="20"/>
              </w:rPr>
            </w:pPr>
          </w:p>
        </w:tc>
        <w:tc>
          <w:tcPr>
            <w:tcW w:w="1559" w:type="dxa"/>
          </w:tcPr>
          <w:p w:rsidR="008B6648" w:rsidRDefault="00C25658">
            <w:pPr>
              <w:jc w:val="both"/>
              <w:rPr>
                <w:sz w:val="20"/>
              </w:rPr>
            </w:pPr>
            <w:r>
              <w:rPr>
                <w:sz w:val="20"/>
              </w:rPr>
              <w:t>(Datum)</w:t>
            </w:r>
          </w:p>
        </w:tc>
        <w:tc>
          <w:tcPr>
            <w:tcW w:w="1134" w:type="dxa"/>
          </w:tcPr>
          <w:p w:rsidR="008B6648" w:rsidRDefault="008B6648">
            <w:pPr>
              <w:jc w:val="both"/>
              <w:rPr>
                <w:sz w:val="20"/>
              </w:rPr>
            </w:pPr>
          </w:p>
        </w:tc>
        <w:tc>
          <w:tcPr>
            <w:tcW w:w="3402" w:type="dxa"/>
          </w:tcPr>
          <w:p w:rsidR="00445860" w:rsidRDefault="00C25658">
            <w:pPr>
              <w:jc w:val="both"/>
              <w:rPr>
                <w:sz w:val="20"/>
              </w:rPr>
            </w:pPr>
            <w:r>
              <w:rPr>
                <w:sz w:val="20"/>
              </w:rPr>
              <w:t>(Unterschrift Mandant)</w:t>
            </w:r>
          </w:p>
        </w:tc>
      </w:tr>
    </w:tbl>
    <w:p w:rsidR="008B6648" w:rsidRPr="00386F51" w:rsidRDefault="008B6648" w:rsidP="00445860">
      <w:pPr>
        <w:jc w:val="both"/>
        <w:rPr>
          <w:sz w:val="8"/>
        </w:rPr>
      </w:pPr>
    </w:p>
    <w:sectPr w:rsidR="008B6648" w:rsidRPr="00386F51" w:rsidSect="003616A7">
      <w:footerReference w:type="default" r:id="rId8"/>
      <w:pgSz w:w="11907" w:h="16840" w:code="9"/>
      <w:pgMar w:top="851" w:right="1134" w:bottom="709" w:left="851" w:header="720" w:footer="497"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ED6" w:rsidRDefault="006B5ED6">
      <w:r>
        <w:separator/>
      </w:r>
    </w:p>
  </w:endnote>
  <w:endnote w:type="continuationSeparator" w:id="0">
    <w:p w:rsidR="006B5ED6" w:rsidRDefault="006B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027" w:rsidRDefault="00EA5027">
    <w:pPr>
      <w:rPr>
        <w:snapToGrid w:val="0"/>
      </w:rPr>
    </w:pPr>
    <w:r>
      <w:rPr>
        <w:snapToGrid w:val="0"/>
        <w:sz w:val="16"/>
      </w:rPr>
      <w:t>*) Wenn zutreffend, bitte ankreuzen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ED6" w:rsidRDefault="006B5ED6">
      <w:r>
        <w:separator/>
      </w:r>
    </w:p>
  </w:footnote>
  <w:footnote w:type="continuationSeparator" w:id="0">
    <w:p w:rsidR="006B5ED6" w:rsidRDefault="006B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1476F5"/>
    <w:multiLevelType w:val="multilevel"/>
    <w:tmpl w:val="D70098C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443"/>
    <w:multiLevelType w:val="singleLevel"/>
    <w:tmpl w:val="0407000F"/>
    <w:lvl w:ilvl="0">
      <w:start w:val="9"/>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8A601E-7994-4F37-A80D-3A96C33FA3FF}"/>
    <w:docVar w:name="dgnword-eventsink" w:val="89814440"/>
  </w:docVars>
  <w:rsids>
    <w:rsidRoot w:val="00CD45A8"/>
    <w:rsid w:val="00002BF3"/>
    <w:rsid w:val="00064E76"/>
    <w:rsid w:val="0007118A"/>
    <w:rsid w:val="000739F6"/>
    <w:rsid w:val="00077245"/>
    <w:rsid w:val="00083CCB"/>
    <w:rsid w:val="0008616D"/>
    <w:rsid w:val="000A4591"/>
    <w:rsid w:val="000A7F69"/>
    <w:rsid w:val="000B1FC2"/>
    <w:rsid w:val="000C054D"/>
    <w:rsid w:val="001269A1"/>
    <w:rsid w:val="00130827"/>
    <w:rsid w:val="00145BAF"/>
    <w:rsid w:val="001C6A20"/>
    <w:rsid w:val="001D179F"/>
    <w:rsid w:val="001D17A2"/>
    <w:rsid w:val="001F70BC"/>
    <w:rsid w:val="00217D3C"/>
    <w:rsid w:val="00245F16"/>
    <w:rsid w:val="002638EC"/>
    <w:rsid w:val="002A5248"/>
    <w:rsid w:val="002B25B8"/>
    <w:rsid w:val="002D4FF3"/>
    <w:rsid w:val="002F1431"/>
    <w:rsid w:val="003042CC"/>
    <w:rsid w:val="00304D2C"/>
    <w:rsid w:val="00311E09"/>
    <w:rsid w:val="00326F59"/>
    <w:rsid w:val="003616A7"/>
    <w:rsid w:val="003648F3"/>
    <w:rsid w:val="00376C0C"/>
    <w:rsid w:val="00386F51"/>
    <w:rsid w:val="003A3D2E"/>
    <w:rsid w:val="003A6B05"/>
    <w:rsid w:val="003D3CC3"/>
    <w:rsid w:val="003D52C9"/>
    <w:rsid w:val="003F659D"/>
    <w:rsid w:val="00412B4E"/>
    <w:rsid w:val="00425687"/>
    <w:rsid w:val="00426027"/>
    <w:rsid w:val="00431F15"/>
    <w:rsid w:val="00445860"/>
    <w:rsid w:val="00461133"/>
    <w:rsid w:val="0046538A"/>
    <w:rsid w:val="00475F89"/>
    <w:rsid w:val="004934F8"/>
    <w:rsid w:val="004C339D"/>
    <w:rsid w:val="004D6340"/>
    <w:rsid w:val="004F3E00"/>
    <w:rsid w:val="004F751D"/>
    <w:rsid w:val="00501608"/>
    <w:rsid w:val="00525C7F"/>
    <w:rsid w:val="005411DA"/>
    <w:rsid w:val="00546374"/>
    <w:rsid w:val="005578C2"/>
    <w:rsid w:val="005858CC"/>
    <w:rsid w:val="005A438C"/>
    <w:rsid w:val="005A48FC"/>
    <w:rsid w:val="005A7E23"/>
    <w:rsid w:val="005B378E"/>
    <w:rsid w:val="005D01BD"/>
    <w:rsid w:val="00600DB3"/>
    <w:rsid w:val="00622907"/>
    <w:rsid w:val="00632556"/>
    <w:rsid w:val="0063502E"/>
    <w:rsid w:val="0065736A"/>
    <w:rsid w:val="006767CB"/>
    <w:rsid w:val="00685553"/>
    <w:rsid w:val="006B5ED6"/>
    <w:rsid w:val="006C0DDD"/>
    <w:rsid w:val="006C2451"/>
    <w:rsid w:val="006D1E00"/>
    <w:rsid w:val="006E0871"/>
    <w:rsid w:val="006F08B0"/>
    <w:rsid w:val="006F5B21"/>
    <w:rsid w:val="00710FCB"/>
    <w:rsid w:val="007556AD"/>
    <w:rsid w:val="00764292"/>
    <w:rsid w:val="00794FE4"/>
    <w:rsid w:val="007A6214"/>
    <w:rsid w:val="007B66C5"/>
    <w:rsid w:val="007D217A"/>
    <w:rsid w:val="007F79AF"/>
    <w:rsid w:val="00806C3E"/>
    <w:rsid w:val="008118E1"/>
    <w:rsid w:val="00816FC2"/>
    <w:rsid w:val="008A61F9"/>
    <w:rsid w:val="008B6648"/>
    <w:rsid w:val="00991E44"/>
    <w:rsid w:val="00992ECC"/>
    <w:rsid w:val="009C499B"/>
    <w:rsid w:val="009E3781"/>
    <w:rsid w:val="00A124AC"/>
    <w:rsid w:val="00A27641"/>
    <w:rsid w:val="00A301EC"/>
    <w:rsid w:val="00A32722"/>
    <w:rsid w:val="00A57C02"/>
    <w:rsid w:val="00A646D1"/>
    <w:rsid w:val="00A662F0"/>
    <w:rsid w:val="00A67E5C"/>
    <w:rsid w:val="00A71642"/>
    <w:rsid w:val="00A92A2B"/>
    <w:rsid w:val="00A95A98"/>
    <w:rsid w:val="00AE2D05"/>
    <w:rsid w:val="00AE6E74"/>
    <w:rsid w:val="00AF1C44"/>
    <w:rsid w:val="00B14ED2"/>
    <w:rsid w:val="00B4351F"/>
    <w:rsid w:val="00B6259A"/>
    <w:rsid w:val="00B858A8"/>
    <w:rsid w:val="00BC44CB"/>
    <w:rsid w:val="00BF0ECA"/>
    <w:rsid w:val="00BF3478"/>
    <w:rsid w:val="00C206DC"/>
    <w:rsid w:val="00C25658"/>
    <w:rsid w:val="00C61292"/>
    <w:rsid w:val="00C63493"/>
    <w:rsid w:val="00C722FD"/>
    <w:rsid w:val="00C75EED"/>
    <w:rsid w:val="00C90B36"/>
    <w:rsid w:val="00CA38E7"/>
    <w:rsid w:val="00CD45A8"/>
    <w:rsid w:val="00CE50D8"/>
    <w:rsid w:val="00CE6464"/>
    <w:rsid w:val="00D018DB"/>
    <w:rsid w:val="00D01D64"/>
    <w:rsid w:val="00D17EAB"/>
    <w:rsid w:val="00D50697"/>
    <w:rsid w:val="00D50A10"/>
    <w:rsid w:val="00D57E16"/>
    <w:rsid w:val="00D75232"/>
    <w:rsid w:val="00D80F94"/>
    <w:rsid w:val="00D8276B"/>
    <w:rsid w:val="00DA5068"/>
    <w:rsid w:val="00DC6751"/>
    <w:rsid w:val="00DF0E56"/>
    <w:rsid w:val="00E12206"/>
    <w:rsid w:val="00E1289E"/>
    <w:rsid w:val="00E214FA"/>
    <w:rsid w:val="00E25AA7"/>
    <w:rsid w:val="00E422D0"/>
    <w:rsid w:val="00E62337"/>
    <w:rsid w:val="00E7123A"/>
    <w:rsid w:val="00E8097B"/>
    <w:rsid w:val="00EA3D28"/>
    <w:rsid w:val="00EA5027"/>
    <w:rsid w:val="00EB1891"/>
    <w:rsid w:val="00EB4C98"/>
    <w:rsid w:val="00EB624B"/>
    <w:rsid w:val="00EC4DA1"/>
    <w:rsid w:val="00ED0A96"/>
    <w:rsid w:val="00ED2D17"/>
    <w:rsid w:val="00F105F0"/>
    <w:rsid w:val="00F139B8"/>
    <w:rsid w:val="00F16CEC"/>
    <w:rsid w:val="00F213B1"/>
    <w:rsid w:val="00F2301F"/>
    <w:rsid w:val="00F4063D"/>
    <w:rsid w:val="00F52B46"/>
    <w:rsid w:val="00F55825"/>
    <w:rsid w:val="00F704C0"/>
    <w:rsid w:val="00F82FA5"/>
    <w:rsid w:val="00FC0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139A166-837E-41C4-9063-B3BC3D98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Times New Roman" w:hAnsi="Times New Roman"/>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ind w:left="284" w:hanging="284"/>
      <w:jc w:val="both"/>
    </w:pPr>
    <w:rPr>
      <w:rFonts w:ascii="Times New Roman" w:hAnsi="Times New Roman"/>
    </w:rPr>
  </w:style>
  <w:style w:type="paragraph" w:customStyle="1" w:styleId="Default">
    <w:name w:val="Default"/>
    <w:rPr>
      <w:rFonts w:ascii="Arial" w:hAnsi="Arial"/>
      <w:snapToGrid w:val="0"/>
      <w:color w:val="000000"/>
      <w:sz w:val="24"/>
    </w:rPr>
  </w:style>
  <w:style w:type="paragraph" w:styleId="Textkrper-Einzug2">
    <w:name w:val="Body Text Indent 2"/>
    <w:basedOn w:val="Standard"/>
    <w:pPr>
      <w:ind w:left="1134" w:hanging="1134"/>
    </w:pPr>
    <w:rPr>
      <w:color w:val="000000"/>
      <w:sz w:val="20"/>
    </w:rPr>
  </w:style>
  <w:style w:type="paragraph" w:styleId="Textkrper-Einzug3">
    <w:name w:val="Body Text Indent 3"/>
    <w:basedOn w:val="Standard"/>
    <w:pPr>
      <w:spacing w:after="240"/>
      <w:ind w:left="567"/>
    </w:pPr>
    <w:rPr>
      <w:color w:val="000000"/>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A95A98"/>
    <w:rPr>
      <w:rFonts w:ascii="Tahoma" w:hAnsi="Tahoma"/>
      <w:sz w:val="16"/>
      <w:szCs w:val="16"/>
      <w:lang w:val="x-none" w:eastAsia="x-none"/>
    </w:rPr>
  </w:style>
  <w:style w:type="character" w:customStyle="1" w:styleId="SprechblasentextZchn">
    <w:name w:val="Sprechblasentext Zchn"/>
    <w:link w:val="Sprechblasentext"/>
    <w:uiPriority w:val="99"/>
    <w:semiHidden/>
    <w:rsid w:val="00A9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Prozessvollmacht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C9AA-55A9-430B-A26F-885E710B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ProzessvollmachtNEU</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Prozeßvollmacht</vt:lpstr>
    </vt:vector>
  </TitlesOfParts>
  <Company>Unnützer, Wagner, Werding</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Prozeßvollmacht</dc:title>
  <dc:subject/>
  <dc:creator>Unuetzer, Wagner &amp; Werding</dc:creator>
  <cp:keywords/>
  <cp:lastModifiedBy>Vöbel, Mareen</cp:lastModifiedBy>
  <cp:revision>2</cp:revision>
  <cp:lastPrinted>2019-04-16T14:49:00Z</cp:lastPrinted>
  <dcterms:created xsi:type="dcterms:W3CDTF">2021-01-12T08:02:00Z</dcterms:created>
  <dcterms:modified xsi:type="dcterms:W3CDTF">2021-01-12T08:02:00Z</dcterms:modified>
</cp:coreProperties>
</file>